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64447C" w:rsidRPr="0043308C" w:rsidTr="00CC64B0">
        <w:trPr>
          <w:trHeight w:val="362"/>
        </w:trPr>
        <w:tc>
          <w:tcPr>
            <w:tcW w:w="2685" w:type="dxa"/>
            <w:shd w:val="clear" w:color="auto" w:fill="auto"/>
            <w:vAlign w:val="center"/>
          </w:tcPr>
          <w:p w:rsidR="0064447C" w:rsidRPr="00961480" w:rsidRDefault="0064447C" w:rsidP="00704055">
            <w:pPr>
              <w:spacing w:line="300" w:lineRule="exact"/>
              <w:jc w:val="both"/>
              <w:rPr>
                <w:lang w:val="vi-VN"/>
              </w:rPr>
            </w:pPr>
            <w:r>
              <w:t xml:space="preserve">Gold Cable (Hongkong) Industrial Limited/ NHÀ MÁY JINXIANDA VIỆT </w:t>
            </w:r>
            <w:smartTag w:uri="urn:schemas-microsoft-com:office:smarttags" w:element="country-region">
              <w:smartTag w:uri="urn:schemas-microsoft-com:office:smarttags" w:element="place">
                <w:r>
                  <w:t>NAM</w:t>
                </w:r>
              </w:smartTag>
            </w:smartTag>
          </w:p>
        </w:tc>
        <w:tc>
          <w:tcPr>
            <w:tcW w:w="6840" w:type="dxa"/>
            <w:shd w:val="clear" w:color="auto" w:fill="auto"/>
            <w:vAlign w:val="center"/>
          </w:tcPr>
          <w:p w:rsidR="0064447C" w:rsidRPr="0043308C" w:rsidRDefault="0064447C" w:rsidP="00704055">
            <w:pPr>
              <w:spacing w:line="300" w:lineRule="exact"/>
              <w:jc w:val="both"/>
              <w:rPr>
                <w:rFonts w:eastAsia="Calibri"/>
                <w:lang w:val="vi-VN"/>
              </w:rPr>
            </w:pPr>
            <w:r w:rsidRPr="0043308C">
              <w:rPr>
                <w:rFonts w:eastAsia="Calibri"/>
                <w:sz w:val="26"/>
                <w:szCs w:val="28"/>
                <w:lang w:val="vi-VN"/>
              </w:rPr>
              <w:t xml:space="preserve">- </w:t>
            </w:r>
            <w:r w:rsidRPr="0043308C">
              <w:rPr>
                <w:rFonts w:eastAsia="Calibri"/>
                <w:lang w:val="vi-VN"/>
              </w:rPr>
              <w:t>Mã số dự án:</w:t>
            </w:r>
            <w:r w:rsidRPr="0043308C">
              <w:rPr>
                <w:lang w:val="vi-VN"/>
              </w:rPr>
              <w:t xml:space="preserve">  6557254907</w:t>
            </w:r>
          </w:p>
          <w:p w:rsidR="0064447C" w:rsidRDefault="0064447C" w:rsidP="00704055">
            <w:pPr>
              <w:spacing w:line="300" w:lineRule="exact"/>
              <w:jc w:val="both"/>
              <w:rPr>
                <w:rFonts w:eastAsia="Calibri"/>
                <w:lang w:val="vi-VN"/>
              </w:rPr>
            </w:pPr>
            <w:r w:rsidRPr="0043308C">
              <w:rPr>
                <w:lang w:val="vi-VN"/>
              </w:rPr>
              <w:t xml:space="preserve">- </w:t>
            </w:r>
            <w:r w:rsidRPr="0043308C">
              <w:rPr>
                <w:rFonts w:eastAsia="Calibri"/>
                <w:lang w:val="vi-VN"/>
              </w:rPr>
              <w:t>Cấp lần đầu ngày: 13/3/2019</w:t>
            </w:r>
          </w:p>
          <w:p w:rsidR="00CC64B0" w:rsidRDefault="00CC64B0" w:rsidP="00CC64B0">
            <w:pPr>
              <w:spacing w:line="300" w:lineRule="exact"/>
              <w:jc w:val="both"/>
            </w:pPr>
            <w:r>
              <w:t xml:space="preserve">- Thay đổi lần cuối ngày: </w:t>
            </w:r>
            <w:r w:rsidR="00CA5B25">
              <w:t>17/5/2023</w:t>
            </w:r>
          </w:p>
          <w:p w:rsidR="0064447C" w:rsidRPr="0043308C" w:rsidRDefault="0064447C" w:rsidP="00704055">
            <w:pPr>
              <w:spacing w:line="300" w:lineRule="exact"/>
              <w:jc w:val="both"/>
              <w:rPr>
                <w:rFonts w:eastAsia="Calibri"/>
                <w:noProof/>
                <w:lang w:val="vi-VN"/>
              </w:rPr>
            </w:pPr>
            <w:r w:rsidRPr="0043308C">
              <w:rPr>
                <w:rFonts w:eastAsia="Calibri"/>
                <w:lang w:val="vi-VN"/>
              </w:rPr>
              <w:t xml:space="preserve">- Cơ quan cấp: </w:t>
            </w:r>
            <w:r w:rsidRPr="0043308C">
              <w:rPr>
                <w:rFonts w:eastAsia="Calibri"/>
                <w:noProof/>
                <w:lang w:val="vi-VN"/>
              </w:rPr>
              <w:t>BQL các KCN tỉnh Hưng Yên</w:t>
            </w:r>
          </w:p>
          <w:p w:rsidR="0064447C" w:rsidRPr="0043308C" w:rsidRDefault="0064447C" w:rsidP="00704055">
            <w:pPr>
              <w:spacing w:before="120" w:after="120" w:line="340" w:lineRule="exact"/>
              <w:jc w:val="both"/>
              <w:rPr>
                <w:rFonts w:eastAsia="Calibri"/>
                <w:lang w:val="vi-VN"/>
              </w:rPr>
            </w:pPr>
            <w:r w:rsidRPr="0043308C">
              <w:rPr>
                <w:rFonts w:eastAsia="Calibri"/>
                <w:noProof/>
                <w:lang w:val="vi-VN"/>
              </w:rPr>
              <w:t xml:space="preserve">- </w:t>
            </w:r>
            <w:r w:rsidRPr="0043308C">
              <w:rPr>
                <w:rFonts w:eastAsia="Calibri"/>
                <w:lang w:val="vi-VN"/>
              </w:rPr>
              <w:t xml:space="preserve">Tên dự án: </w:t>
            </w:r>
            <w:r w:rsidRPr="0043308C">
              <w:rPr>
                <w:lang w:val="vi-VN"/>
              </w:rPr>
              <w:t>NHÀ MÁY JINXIANDA VIỆT NAM.</w:t>
            </w:r>
          </w:p>
          <w:p w:rsidR="00CC64B0" w:rsidRDefault="0064447C" w:rsidP="00CC64B0">
            <w:pPr>
              <w:spacing w:line="300" w:lineRule="exact"/>
              <w:jc w:val="both"/>
              <w:rPr>
                <w:lang w:val="vi-VN"/>
              </w:rPr>
            </w:pPr>
            <w:r w:rsidRPr="0043308C">
              <w:rPr>
                <w:rFonts w:eastAsia="Calibri"/>
                <w:lang w:val="vi-VN"/>
              </w:rPr>
              <w:t>- Mục tiêu dự án:</w:t>
            </w:r>
            <w:r w:rsidRPr="0043308C">
              <w:rPr>
                <w:lang w:val="vi-VN"/>
              </w:rPr>
              <w:t xml:space="preserve"> </w:t>
            </w:r>
          </w:p>
          <w:p w:rsidR="00CA5B25" w:rsidRDefault="00CA5B25" w:rsidP="00CA5B25">
            <w:pPr>
              <w:spacing w:line="300" w:lineRule="exact"/>
              <w:jc w:val="both"/>
            </w:pPr>
            <w:r>
              <w:t>+ Giai đoạn I:  Sản xuất, gia công dây cáp, dây truyền tín hiệu dùng cho máy tính sách tay, điện thoại, máy in, máy phô tô,…; Sản xuất, gia công, lắp ráp ổ cắm, dây dẫn điện; hộp đựng dây điện; Sản xuất, lắp ráp sạc điện thoại không dây.</w:t>
            </w:r>
          </w:p>
          <w:p w:rsidR="0064447C" w:rsidRPr="0043308C" w:rsidRDefault="00CA5B25" w:rsidP="00CA5B25">
            <w:pPr>
              <w:spacing w:before="120" w:after="120" w:line="340" w:lineRule="exact"/>
              <w:ind w:right="-28"/>
              <w:jc w:val="both"/>
              <w:rPr>
                <w:lang w:val="vi-VN"/>
              </w:rPr>
            </w:pPr>
            <w:r>
              <w:t>+ Giai đoạn II: Sản xuất, gia công, lắp ráp các loại dây cáp, dây âm thanh, dây truyền tín hiệu dùng cho máy tính xách tay, điện thoại, máy in, máy phô tô, đầu kỹ thuật số, đầu điện tử và các thiết bị điện tử khác…; Sản xuất, gia công, lắp ráp ổ cắm, dây dẫn điện, hộp đựng dây điện, hộp đựng dây kết nối, hộp đựng linh kiện điện tử; mặt nhựa luồn các loại dây điện, dây mạng, dây cáp; đầu chuyển đổi tín hiệu thiết bị điện, điện tử; giá cố định hộp đựng; Sản xuất, gia công, lắp ráp sạc điện thoại không dây; sản xuất, gia công, lắp ráp bộ sạc điện thoại di động; sạc điện thoại trên xe ô tô; ổ cắm thông minh; tai nghe bluetooth; loa bluetooth; bộ chuyển đổi nguồn…; Sản xuất, gia công, lắp ráp các loại dây cáp quang như dây cáp quang HDMI, USB, TYPE C, AC, DP, DVI…; Sản xuất, gia công, lắp ráp thiết bị chuyển đổi tín hiệu cáp HDMI, âm thanh AC, mạng internet, USB, VGA, thẻ nhớ SD…..; Sản xuất linh kiện điện tử: bộ chuyển mạch, bộ chuyển đổi cho các bộ phận điện tử; thiết bị đầu cuối (giắc cắm); các loại phụ kiện của dây cáp điện, điện tử.</w:t>
            </w:r>
          </w:p>
          <w:p w:rsidR="0064447C" w:rsidRDefault="0064447C" w:rsidP="00704055">
            <w:pPr>
              <w:spacing w:before="120" w:after="120" w:line="340" w:lineRule="exact"/>
              <w:jc w:val="both"/>
              <w:rPr>
                <w:rFonts w:eastAsia="Calibri"/>
              </w:rPr>
            </w:pPr>
            <w:r w:rsidRPr="0043308C">
              <w:rPr>
                <w:lang w:val="vi-VN"/>
              </w:rPr>
              <w:t xml:space="preserve">- </w:t>
            </w:r>
            <w:r w:rsidRPr="0043308C">
              <w:rPr>
                <w:rFonts w:eastAsia="Calibri"/>
                <w:lang w:val="vi-VN"/>
              </w:rPr>
              <w:t xml:space="preserve">Địa điểm thực hiện dự án: </w:t>
            </w:r>
          </w:p>
          <w:p w:rsidR="00CA5B25" w:rsidRDefault="00CA5B25" w:rsidP="00CA5B25">
            <w:pPr>
              <w:spacing w:line="300" w:lineRule="exact"/>
              <w:jc w:val="both"/>
            </w:pPr>
            <w:r>
              <w:t>+ Giai đoạn I: Thuê Nhà xưởng thuộc “Dự án đầu tư xây dựng nhà xưởng, văn phòng cho thuê” của Công ty TNHH Giấy Tiến Thành tại Đường D3, khu D, KCN Phố Nối A, huyện Văn Lâm, tỉnh Hưng Yên.</w:t>
            </w:r>
          </w:p>
          <w:p w:rsidR="00CA5B25" w:rsidRDefault="00CA5B25" w:rsidP="00CA5B25">
            <w:pPr>
              <w:spacing w:line="300" w:lineRule="exact"/>
              <w:jc w:val="both"/>
            </w:pPr>
            <w:r>
              <w:t>+ Giai đoạn II: Thuê Lô đất có diện tích 10.000 m2 tại đường G6, Khu G, Khu công nghiệp Phố Nối A mở rộng diện tích 92,5ha; phường Bần Yên Nhân, thị xã Mỹ Hào, tỉnh Hưng Yên.</w:t>
            </w:r>
          </w:p>
          <w:p w:rsidR="00CA5B25" w:rsidRPr="00CA5B25" w:rsidRDefault="00CA5B25" w:rsidP="00704055">
            <w:pPr>
              <w:spacing w:before="120" w:after="120" w:line="340" w:lineRule="exact"/>
              <w:jc w:val="both"/>
              <w:rPr>
                <w:rFonts w:eastAsia="Calibri"/>
              </w:rPr>
            </w:pPr>
          </w:p>
          <w:p w:rsidR="00CA5B25" w:rsidRDefault="0064447C" w:rsidP="00704055">
            <w:pPr>
              <w:spacing w:line="300" w:lineRule="exact"/>
              <w:jc w:val="both"/>
              <w:rPr>
                <w:rFonts w:eastAsia="Calibri"/>
              </w:rPr>
            </w:pPr>
            <w:r w:rsidRPr="0043308C">
              <w:rPr>
                <w:rFonts w:eastAsia="Calibri"/>
                <w:lang w:val="vi-VN"/>
              </w:rPr>
              <w:t xml:space="preserve">- Vốn đầu tư đăng ký ( USD): </w:t>
            </w:r>
            <w:r w:rsidR="00CA5B25">
              <w:t>4.300.000</w:t>
            </w:r>
          </w:p>
          <w:p w:rsidR="0064447C" w:rsidRPr="0043308C" w:rsidRDefault="0064447C" w:rsidP="00704055">
            <w:pPr>
              <w:spacing w:line="300" w:lineRule="exact"/>
              <w:jc w:val="both"/>
              <w:rPr>
                <w:spacing w:val="-4"/>
                <w:lang w:val="vi-VN"/>
              </w:rPr>
            </w:pPr>
            <w:r w:rsidRPr="0043308C">
              <w:rPr>
                <w:rFonts w:eastAsia="Calibri"/>
                <w:noProof/>
                <w:lang w:val="vi-VN"/>
              </w:rPr>
              <w:t xml:space="preserve">- </w:t>
            </w:r>
            <w:r w:rsidRPr="0043308C">
              <w:rPr>
                <w:rFonts w:eastAsia="Calibri"/>
                <w:lang w:val="vi-VN"/>
              </w:rPr>
              <w:t>Diện tích  sử dụng (m</w:t>
            </w:r>
            <w:r w:rsidRPr="0043308C">
              <w:rPr>
                <w:rFonts w:eastAsia="Calibri"/>
                <w:vertAlign w:val="superscript"/>
                <w:lang w:val="vi-VN"/>
              </w:rPr>
              <w:t>2</w:t>
            </w:r>
            <w:r w:rsidRPr="0043308C">
              <w:rPr>
                <w:rFonts w:eastAsia="Calibri"/>
                <w:lang w:val="vi-VN"/>
              </w:rPr>
              <w:t>): 6.250</w:t>
            </w:r>
          </w:p>
          <w:p w:rsidR="0064447C" w:rsidRPr="0043308C" w:rsidRDefault="0064447C" w:rsidP="00704055">
            <w:pPr>
              <w:spacing w:line="300" w:lineRule="exact"/>
              <w:jc w:val="both"/>
              <w:rPr>
                <w:spacing w:val="-6"/>
                <w:lang w:val="vi-VN"/>
              </w:rPr>
            </w:pPr>
            <w:r w:rsidRPr="0043308C">
              <w:rPr>
                <w:spacing w:val="-8"/>
                <w:lang w:val="vi-VN"/>
              </w:rPr>
              <w:t xml:space="preserve">- </w:t>
            </w:r>
            <w:r w:rsidRPr="0043308C">
              <w:rPr>
                <w:rFonts w:eastAsia="Calibri"/>
                <w:lang w:val="vi-VN"/>
              </w:rPr>
              <w:t>Hình thức thuê: Thuê nhà xưởng</w:t>
            </w:r>
          </w:p>
          <w:p w:rsidR="0064447C" w:rsidRPr="0043308C" w:rsidRDefault="0064447C" w:rsidP="00704055">
            <w:pPr>
              <w:spacing w:line="300" w:lineRule="exact"/>
              <w:jc w:val="both"/>
              <w:rPr>
                <w:noProof/>
                <w:spacing w:val="-8"/>
                <w:lang w:val="vi-VN"/>
              </w:rPr>
            </w:pPr>
            <w:r w:rsidRPr="0043308C">
              <w:rPr>
                <w:spacing w:val="-6"/>
                <w:lang w:val="vi-VN"/>
              </w:rPr>
              <w:t xml:space="preserve">- </w:t>
            </w:r>
            <w:r w:rsidRPr="0043308C">
              <w:rPr>
                <w:rFonts w:eastAsia="Calibri"/>
                <w:lang w:val="vi-VN"/>
              </w:rPr>
              <w:t>Quốc gia đầu tư: Trung Quốc</w:t>
            </w:r>
          </w:p>
          <w:p w:rsidR="0064447C" w:rsidRPr="0043308C" w:rsidRDefault="0064447C" w:rsidP="00704055">
            <w:pPr>
              <w:spacing w:line="300" w:lineRule="exact"/>
              <w:jc w:val="both"/>
              <w:rPr>
                <w:lang w:val="vi-VN"/>
              </w:rPr>
            </w:pPr>
            <w:r w:rsidRPr="0043308C">
              <w:rPr>
                <w:noProof/>
                <w:spacing w:val="-8"/>
                <w:lang w:val="vi-VN"/>
              </w:rPr>
              <w:lastRenderedPageBreak/>
              <w:t xml:space="preserve">- </w:t>
            </w:r>
            <w:r w:rsidRPr="0043308C">
              <w:rPr>
                <w:rFonts w:eastAsia="Calibri"/>
                <w:lang w:val="vi-VN"/>
              </w:rPr>
              <w:t xml:space="preserve">Tình hình hoạt động: </w:t>
            </w:r>
            <w:r w:rsidRPr="0043308C">
              <w:rPr>
                <w:rFonts w:eastAsia="Calibri"/>
                <w:noProof/>
                <w:lang w:val="vi-VN"/>
              </w:rPr>
              <w:t>Đang triển khai</w:t>
            </w:r>
          </w:p>
        </w:tc>
      </w:tr>
    </w:tbl>
    <w:p w:rsidR="00251667" w:rsidRDefault="00251667"/>
    <w:sectPr w:rsidR="00251667" w:rsidSect="00251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447C"/>
    <w:rsid w:val="00251667"/>
    <w:rsid w:val="0064447C"/>
    <w:rsid w:val="00BE2E91"/>
    <w:rsid w:val="00CA5B25"/>
    <w:rsid w:val="00CC64B0"/>
    <w:rsid w:val="00DB3ECD"/>
    <w:rsid w:val="00EB1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7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189B696-094F-413B-B4F8-376964C831DF}">
  <ds:schemaRefs>
    <ds:schemaRef ds:uri="http://schemas.microsoft.com/sharepoint/v3/contenttype/forms"/>
  </ds:schemaRefs>
</ds:datastoreItem>
</file>

<file path=customXml/itemProps2.xml><?xml version="1.0" encoding="utf-8"?>
<ds:datastoreItem xmlns:ds="http://schemas.openxmlformats.org/officeDocument/2006/customXml" ds:itemID="{D9E7B19C-E8BE-4D76-B0DC-A80199808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6C67A-F835-4316-8455-92DBDC106453}">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2023-07-31T07:15:00Z</dcterms:created>
  <dcterms:modified xsi:type="dcterms:W3CDTF">2023-07-31T07:15:00Z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